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07F3C103" w:rsidR="008E221A" w:rsidRPr="006B51AE" w:rsidRDefault="00A72FB0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Новосибирск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18 февраля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166D56BF" w:rsidR="00E31E3E" w:rsidRPr="003E6D6A" w:rsidRDefault="00A72FB0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A72FB0">
        <w:rPr>
          <w:rFonts w:ascii="Arial" w:hAnsi="Arial" w:cs="Arial"/>
          <w:b/>
          <w:bCs/>
          <w:color w:val="0070C0"/>
          <w:sz w:val="32"/>
          <w:szCs w:val="32"/>
        </w:rPr>
        <w:t>НАУЧНЫЕ ИССЛЕДОВАНИЯ В ДИНАМИКЕ ГЛОБАЛЬНЫХ ИЗМЕНЕНИЙ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214B4364" w:rsidR="001F135C" w:rsidRPr="00543704" w:rsidRDefault="00A72FB0" w:rsidP="00A902B0">
      <w:pPr>
        <w:rPr>
          <w:rFonts w:cs="Times New Roman"/>
          <w:sz w:val="24"/>
          <w:szCs w:val="24"/>
        </w:rPr>
      </w:pPr>
      <w:r w:rsidRPr="00A72FB0">
        <w:rPr>
          <w:rFonts w:cs="Times New Roman"/>
          <w:sz w:val="24"/>
          <w:szCs w:val="24"/>
        </w:rPr>
        <w:t>Экономика, философия науки, социология, политология, международные отношения, управление, междисциплинарные научные исследования, теория развития.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5C0B3E2C" w14:textId="6EC831AC" w:rsidR="00064A89" w:rsidRPr="00543704" w:rsidRDefault="00776A82" w:rsidP="00A902B0">
      <w:pPr>
        <w:rPr>
          <w:rStyle w:val="wixui-rich-texttext"/>
          <w:sz w:val="24"/>
          <w:szCs w:val="24"/>
        </w:rPr>
      </w:pPr>
      <w:r w:rsidRPr="00776A82">
        <w:rPr>
          <w:rStyle w:val="wixui-rich-texttext"/>
          <w:sz w:val="24"/>
          <w:szCs w:val="24"/>
        </w:rPr>
        <w:t>Аскаров И.Б.</w:t>
      </w:r>
      <w:proofErr w:type="gramStart"/>
      <w:r w:rsidR="00EB4CE7">
        <w:rPr>
          <w:rStyle w:val="wixui-rich-texttext"/>
          <w:sz w:val="24"/>
          <w:szCs w:val="24"/>
        </w:rPr>
        <w:t xml:space="preserve">, </w:t>
      </w:r>
      <w:r w:rsidRPr="00776A82">
        <w:rPr>
          <w:rStyle w:val="wixui-rich-texttext"/>
          <w:sz w:val="24"/>
          <w:szCs w:val="24"/>
        </w:rPr>
        <w:t xml:space="preserve"> доктор</w:t>
      </w:r>
      <w:proofErr w:type="gramEnd"/>
      <w:r w:rsidRPr="00776A82">
        <w:rPr>
          <w:rStyle w:val="wixui-rich-texttext"/>
          <w:sz w:val="24"/>
          <w:szCs w:val="24"/>
        </w:rPr>
        <w:t xml:space="preserve"> педагогических наук</w:t>
      </w:r>
    </w:p>
    <w:p w14:paraId="58B81CE7" w14:textId="309A82E0" w:rsidR="0070146E" w:rsidRPr="00543704" w:rsidRDefault="0070146E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Балташев</w:t>
      </w:r>
      <w:proofErr w:type="spellEnd"/>
      <w:r w:rsidRPr="00543704">
        <w:rPr>
          <w:rStyle w:val="wixui-rich-texttext"/>
          <w:sz w:val="24"/>
          <w:szCs w:val="24"/>
        </w:rPr>
        <w:t xml:space="preserve"> Ж.М., кандидат экономических наук (PhD),</w:t>
      </w:r>
    </w:p>
    <w:p w14:paraId="290C1AC6" w14:textId="376BE554" w:rsidR="00064A89" w:rsidRPr="00543704" w:rsidRDefault="0070146E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Вафоева</w:t>
      </w:r>
      <w:proofErr w:type="spellEnd"/>
      <w:r w:rsidRPr="00543704">
        <w:rPr>
          <w:rStyle w:val="wixui-rich-texttext"/>
          <w:sz w:val="24"/>
          <w:szCs w:val="24"/>
        </w:rPr>
        <w:t xml:space="preserve"> Д.И., кандидат экономических наук (PhD),</w:t>
      </w:r>
    </w:p>
    <w:p w14:paraId="13DF1F9E" w14:textId="2038F8A1" w:rsidR="0070146E" w:rsidRPr="00543704" w:rsidRDefault="0070146E" w:rsidP="0070146E">
      <w:pPr>
        <w:rPr>
          <w:rFonts w:eastAsia="Times New Roman" w:cs="Times New Roman"/>
          <w:sz w:val="24"/>
          <w:szCs w:val="24"/>
          <w:lang w:eastAsia="ru-RU"/>
        </w:rPr>
      </w:pPr>
      <w:r w:rsidRPr="00543704">
        <w:rPr>
          <w:rFonts w:eastAsia="Times New Roman" w:cs="Times New Roman"/>
          <w:sz w:val="24"/>
          <w:szCs w:val="24"/>
          <w:lang w:eastAsia="ru-RU"/>
        </w:rPr>
        <w:t>Ганиев Д.Г., кандидат педагогических наук (PhD), доцент,</w:t>
      </w:r>
    </w:p>
    <w:p w14:paraId="506BDA8C" w14:textId="77777777" w:rsidR="00064A89" w:rsidRPr="00543704" w:rsidRDefault="00064A89" w:rsidP="0070146E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Исраилова</w:t>
      </w:r>
      <w:proofErr w:type="spellEnd"/>
      <w:r w:rsidRPr="00543704">
        <w:rPr>
          <w:rStyle w:val="wixui-rich-texttext"/>
          <w:sz w:val="24"/>
          <w:szCs w:val="24"/>
        </w:rPr>
        <w:t xml:space="preserve"> Д.К., доктор экономических наук (</w:t>
      </w:r>
      <w:proofErr w:type="spellStart"/>
      <w:r w:rsidRPr="00543704">
        <w:rPr>
          <w:rStyle w:val="wixui-rich-texttext"/>
          <w:sz w:val="24"/>
          <w:szCs w:val="24"/>
        </w:rPr>
        <w:t>DSc</w:t>
      </w:r>
      <w:proofErr w:type="spellEnd"/>
      <w:r w:rsidRPr="00543704">
        <w:rPr>
          <w:rStyle w:val="wixui-rich-texttext"/>
          <w:sz w:val="24"/>
          <w:szCs w:val="24"/>
        </w:rPr>
        <w:t>), доцент,</w:t>
      </w:r>
    </w:p>
    <w:p w14:paraId="49DA4C95" w14:textId="282C1C1F" w:rsidR="0070146E" w:rsidRPr="00543704" w:rsidRDefault="00BE5480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Кадирова</w:t>
      </w:r>
      <w:proofErr w:type="spellEnd"/>
      <w:r w:rsidRPr="00543704">
        <w:rPr>
          <w:rStyle w:val="wixui-rich-texttext"/>
          <w:sz w:val="24"/>
          <w:szCs w:val="24"/>
        </w:rPr>
        <w:t xml:space="preserve"> Д.Н., кандидат биологических наук, доцент,</w:t>
      </w:r>
    </w:p>
    <w:p w14:paraId="1AEB90DD" w14:textId="77777777" w:rsidR="0070146E" w:rsidRPr="00543704" w:rsidRDefault="0070146E" w:rsidP="00A902B0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Махмудов О.Х., доктор экономических наук, профессор,</w:t>
      </w:r>
    </w:p>
    <w:p w14:paraId="7EBA7D8D" w14:textId="77777777" w:rsidR="00BE5480" w:rsidRPr="00543704" w:rsidRDefault="00BE5480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Сабитов А.У., кандидат технических наук,</w:t>
      </w:r>
    </w:p>
    <w:p w14:paraId="3C6114DF" w14:textId="5E625DEF" w:rsidR="00064A89" w:rsidRPr="00543704" w:rsidRDefault="00064A89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Тягунова Л.А., кандидат философских наук, доцент,</w:t>
      </w:r>
    </w:p>
    <w:p w14:paraId="344E67AD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 xml:space="preserve">Тураев К.Т., кандидат географических наук, </w:t>
      </w:r>
    </w:p>
    <w:p w14:paraId="6A2B4702" w14:textId="77777777" w:rsidR="0070146E" w:rsidRPr="00543704" w:rsidRDefault="0070146E" w:rsidP="00064A89">
      <w:pPr>
        <w:rPr>
          <w:rStyle w:val="wixui-rich-texttext"/>
          <w:sz w:val="24"/>
          <w:szCs w:val="24"/>
        </w:rPr>
      </w:pPr>
      <w:r w:rsidRPr="00543704">
        <w:rPr>
          <w:rStyle w:val="wixui-rich-texttext"/>
          <w:sz w:val="24"/>
          <w:szCs w:val="24"/>
        </w:rPr>
        <w:t>Федорова Ю.В., доктор экономических наук, профессор,</w:t>
      </w:r>
    </w:p>
    <w:p w14:paraId="43568633" w14:textId="7C5291A5" w:rsidR="000057A4" w:rsidRPr="00543704" w:rsidRDefault="00BE5480" w:rsidP="00A902B0">
      <w:pPr>
        <w:rPr>
          <w:rStyle w:val="wixui-rich-texttext"/>
          <w:sz w:val="24"/>
          <w:szCs w:val="24"/>
        </w:rPr>
      </w:pPr>
      <w:proofErr w:type="spellStart"/>
      <w:r w:rsidRPr="00543704">
        <w:rPr>
          <w:rStyle w:val="wixui-rich-texttext"/>
          <w:sz w:val="24"/>
          <w:szCs w:val="24"/>
        </w:rPr>
        <w:t>Хомидов</w:t>
      </w:r>
      <w:proofErr w:type="spellEnd"/>
      <w:r w:rsidRPr="00543704">
        <w:rPr>
          <w:rStyle w:val="wixui-rich-texttext"/>
          <w:sz w:val="24"/>
          <w:szCs w:val="24"/>
        </w:rPr>
        <w:t xml:space="preserve"> И.И., кандидат химических наук, доцент.</w:t>
      </w:r>
    </w:p>
    <w:p w14:paraId="57FF100B" w14:textId="16E4C82A" w:rsidR="00BE5480" w:rsidRPr="00543704" w:rsidRDefault="00BE5480" w:rsidP="00A902B0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633674E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A72FB0" w:rsidRPr="00A72FB0">
        <w:rPr>
          <w:rFonts w:eastAsia="Calibri" w:cs="Times New Roman"/>
          <w:sz w:val="24"/>
          <w:szCs w:val="24"/>
        </w:rPr>
        <w:t xml:space="preserve">18 февраля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5525E6B2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A72FB0" w:rsidRPr="00A72FB0">
        <w:rPr>
          <w:rFonts w:eastAsia="Calibri" w:cs="Times New Roman"/>
          <w:sz w:val="24"/>
          <w:szCs w:val="24"/>
        </w:rPr>
        <w:t>18 февраля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EB4CE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EB4CE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EB4CE7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76A82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72FB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4CE7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2025-12-18T20:25:00Z</dcterms:modified>
</cp:coreProperties>
</file>