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3C8E3305" w:rsidR="008E221A" w:rsidRPr="006B51AE" w:rsidRDefault="000C6DFA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Санкт-Петербург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 xml:space="preserve"> апреля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0C6DFA" w:rsidRDefault="00D940B2" w:rsidP="00640327">
      <w:pPr>
        <w:jc w:val="center"/>
        <w:rPr>
          <w:rFonts w:cs="Times New Roman"/>
          <w:b/>
          <w:color w:val="17365D" w:themeColor="text2" w:themeShade="BF"/>
          <w:sz w:val="32"/>
          <w:szCs w:val="28"/>
        </w:rPr>
      </w:pPr>
    </w:p>
    <w:p w14:paraId="4F98E992" w14:textId="4F610C26" w:rsidR="00E31E3E" w:rsidRPr="0005166D" w:rsidRDefault="000C6DFA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0C6DFA">
        <w:rPr>
          <w:rFonts w:ascii="Arial" w:hAnsi="Arial" w:cs="Arial"/>
          <w:b/>
          <w:bCs/>
          <w:color w:val="0070C0"/>
          <w:szCs w:val="28"/>
        </w:rPr>
        <w:t>МЕЖДИСЦИПЛИНАРНЫЕ ИССЛЕДОВАНИЯ: ТЕНДЕНЦИИ И ПЕРСПЕКТИВЫ</w:t>
      </w:r>
    </w:p>
    <w:p w14:paraId="38456666" w14:textId="77777777" w:rsidR="001A199B" w:rsidRPr="000C6DFA" w:rsidRDefault="001A199B" w:rsidP="0087399F">
      <w:pPr>
        <w:jc w:val="center"/>
        <w:rPr>
          <w:rFonts w:cs="Times New Roman"/>
          <w:b/>
          <w:sz w:val="18"/>
          <w:szCs w:val="24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2A3DD7C9" w:rsidR="001F135C" w:rsidRPr="00543704" w:rsidRDefault="000C6DFA" w:rsidP="00A902B0">
      <w:pPr>
        <w:rPr>
          <w:rFonts w:cs="Times New Roman"/>
          <w:sz w:val="24"/>
          <w:szCs w:val="24"/>
        </w:rPr>
      </w:pPr>
      <w:r w:rsidRPr="000C6DFA">
        <w:rPr>
          <w:rFonts w:cs="Times New Roman"/>
          <w:sz w:val="24"/>
          <w:szCs w:val="24"/>
        </w:rPr>
        <w:t>Экономика, социология, философия, психология, педагогика, информационные технологии, менеджмент.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4C1D1B85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proofErr w:type="spellStart"/>
      <w:r w:rsidRPr="000C6DFA">
        <w:rPr>
          <w:rStyle w:val="wixui-rich-texttext"/>
          <w:sz w:val="24"/>
          <w:szCs w:val="24"/>
        </w:rPr>
        <w:t>Абдулхаликова</w:t>
      </w:r>
      <w:proofErr w:type="spellEnd"/>
      <w:r w:rsidRPr="000C6DFA">
        <w:rPr>
          <w:rStyle w:val="wixui-rich-texttext"/>
          <w:sz w:val="24"/>
          <w:szCs w:val="24"/>
        </w:rPr>
        <w:t xml:space="preserve"> Н.Р., кандидат физико-математических наук, доцент</w:t>
      </w:r>
    </w:p>
    <w:p w14:paraId="13B5AC23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3B9986FE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Аскаров И.Б., доктор педагогических наук (</w:t>
      </w:r>
      <w:proofErr w:type="spellStart"/>
      <w:r w:rsidRPr="000C6DFA">
        <w:rPr>
          <w:rStyle w:val="wixui-rich-texttext"/>
          <w:sz w:val="24"/>
          <w:szCs w:val="24"/>
        </w:rPr>
        <w:t>DSc</w:t>
      </w:r>
      <w:proofErr w:type="spellEnd"/>
      <w:r w:rsidRPr="000C6DFA">
        <w:rPr>
          <w:rStyle w:val="wixui-rich-texttext"/>
          <w:sz w:val="24"/>
          <w:szCs w:val="24"/>
        </w:rPr>
        <w:t>), профессор</w:t>
      </w:r>
    </w:p>
    <w:p w14:paraId="0BDC94AB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proofErr w:type="spellStart"/>
      <w:r w:rsidRPr="000C6DFA">
        <w:rPr>
          <w:rStyle w:val="wixui-rich-texttext"/>
          <w:sz w:val="24"/>
          <w:szCs w:val="24"/>
        </w:rPr>
        <w:t>Балтаева</w:t>
      </w:r>
      <w:proofErr w:type="spellEnd"/>
      <w:r w:rsidRPr="000C6DFA">
        <w:rPr>
          <w:rStyle w:val="wixui-rich-texttext"/>
          <w:sz w:val="24"/>
          <w:szCs w:val="24"/>
        </w:rPr>
        <w:t xml:space="preserve"> И.Т., доктор филологических наук, профессор</w:t>
      </w:r>
    </w:p>
    <w:p w14:paraId="28402828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Ганиева Г.И., доктор философии по биологическим наукам (PhD)</w:t>
      </w:r>
    </w:p>
    <w:p w14:paraId="40515DAC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Жураев В.М., доктор философии по психологическим наукам (PhD), доцент</w:t>
      </w:r>
    </w:p>
    <w:p w14:paraId="0C8372D8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Исакова Г.Н., доктор филологических наук (</w:t>
      </w:r>
      <w:proofErr w:type="spellStart"/>
      <w:r w:rsidRPr="000C6DFA">
        <w:rPr>
          <w:rStyle w:val="wixui-rich-texttext"/>
          <w:sz w:val="24"/>
          <w:szCs w:val="24"/>
        </w:rPr>
        <w:t>DSc</w:t>
      </w:r>
      <w:proofErr w:type="spellEnd"/>
      <w:r w:rsidRPr="000C6DFA">
        <w:rPr>
          <w:rStyle w:val="wixui-rich-texttext"/>
          <w:sz w:val="24"/>
          <w:szCs w:val="24"/>
        </w:rPr>
        <w:t>), доцент</w:t>
      </w:r>
    </w:p>
    <w:p w14:paraId="29D97667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Камолов Б.Б., доктор философии по медицинским наукам (PhD), доцент</w:t>
      </w:r>
    </w:p>
    <w:p w14:paraId="16A00E29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proofErr w:type="spellStart"/>
      <w:r w:rsidRPr="000C6DFA">
        <w:rPr>
          <w:rStyle w:val="wixui-rich-texttext"/>
          <w:sz w:val="24"/>
          <w:szCs w:val="24"/>
        </w:rPr>
        <w:t>Кораев</w:t>
      </w:r>
      <w:proofErr w:type="spellEnd"/>
      <w:r w:rsidRPr="000C6DFA">
        <w:rPr>
          <w:rStyle w:val="wixui-rich-texttext"/>
          <w:sz w:val="24"/>
          <w:szCs w:val="24"/>
        </w:rPr>
        <w:t xml:space="preserve"> С.Б., доктор педагогических наук (</w:t>
      </w:r>
      <w:proofErr w:type="spellStart"/>
      <w:r w:rsidRPr="000C6DFA">
        <w:rPr>
          <w:rStyle w:val="wixui-rich-texttext"/>
          <w:sz w:val="24"/>
          <w:szCs w:val="24"/>
        </w:rPr>
        <w:t>DSc</w:t>
      </w:r>
      <w:proofErr w:type="spellEnd"/>
      <w:r w:rsidRPr="000C6DFA">
        <w:rPr>
          <w:rStyle w:val="wixui-rich-texttext"/>
          <w:sz w:val="24"/>
          <w:szCs w:val="24"/>
        </w:rPr>
        <w:t>), профессор</w:t>
      </w:r>
    </w:p>
    <w:p w14:paraId="154BEBFA" w14:textId="77777777" w:rsidR="000C6DFA" w:rsidRPr="000C6DFA" w:rsidRDefault="000C6DFA" w:rsidP="000C6DFA">
      <w:pPr>
        <w:rPr>
          <w:rStyle w:val="wixui-rich-texttext"/>
          <w:sz w:val="24"/>
          <w:szCs w:val="24"/>
        </w:rPr>
      </w:pPr>
      <w:proofErr w:type="spellStart"/>
      <w:r w:rsidRPr="000C6DFA">
        <w:rPr>
          <w:rStyle w:val="wixui-rich-texttext"/>
          <w:sz w:val="24"/>
          <w:szCs w:val="24"/>
        </w:rPr>
        <w:t>Мусашайхов</w:t>
      </w:r>
      <w:proofErr w:type="spellEnd"/>
      <w:r w:rsidRPr="000C6DFA">
        <w:rPr>
          <w:rStyle w:val="wixui-rich-texttext"/>
          <w:sz w:val="24"/>
          <w:szCs w:val="24"/>
        </w:rPr>
        <w:t xml:space="preserve"> Х.Т., доктор медицинских наук, профессор</w:t>
      </w:r>
    </w:p>
    <w:p w14:paraId="5D0098F9" w14:textId="08829BF7" w:rsidR="0005166D" w:rsidRDefault="000C6DFA" w:rsidP="000C6DFA">
      <w:pPr>
        <w:rPr>
          <w:rStyle w:val="wixui-rich-texttext"/>
          <w:sz w:val="24"/>
          <w:szCs w:val="24"/>
        </w:rPr>
      </w:pPr>
      <w:r w:rsidRPr="000C6DFA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15A614F8" w14:textId="77777777" w:rsidR="000C6DFA" w:rsidRPr="00543704" w:rsidRDefault="000C6DFA" w:rsidP="000C6DFA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37D995B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C6DFA">
        <w:rPr>
          <w:rFonts w:eastAsia="Calibri" w:cs="Times New Roman"/>
          <w:sz w:val="24"/>
          <w:szCs w:val="24"/>
        </w:rPr>
        <w:t>22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1D81D631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0C6DFA">
        <w:rPr>
          <w:rFonts w:eastAsia="Calibri" w:cs="Times New Roman"/>
          <w:sz w:val="24"/>
          <w:szCs w:val="24"/>
        </w:rPr>
        <w:t>22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3A1AF5" w:rsidRPr="005C2072" w14:paraId="43912B8B" w14:textId="77777777" w:rsidTr="007E5FDD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6C88" w14:textId="77777777" w:rsidR="003A1AF5" w:rsidRPr="005C2072" w:rsidRDefault="003A1AF5" w:rsidP="007E5FDD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4A11" w14:textId="77777777" w:rsidR="003A1AF5" w:rsidRPr="005C2072" w:rsidRDefault="003A1AF5" w:rsidP="007E5FDD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3A1AF5" w:rsidRPr="005C2072" w14:paraId="4E4BB6A0" w14:textId="77777777" w:rsidTr="007E5FDD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4445" w14:textId="77777777" w:rsidR="003A1AF5" w:rsidRPr="005C2072" w:rsidRDefault="003A1AF5" w:rsidP="007E5FDD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4387DD90" w14:textId="77777777" w:rsidR="003A1AF5" w:rsidRPr="005C2072" w:rsidRDefault="003A1AF5" w:rsidP="007E5FDD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3A1AF5" w:rsidRPr="005C2072" w14:paraId="36CD15F2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05BF" w14:textId="77777777" w:rsidR="003A1AF5" w:rsidRPr="005C2072" w:rsidRDefault="003A1AF5" w:rsidP="007E5FDD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4043" w14:textId="77777777" w:rsidR="003A1AF5" w:rsidRPr="007C3743" w:rsidRDefault="003A1AF5" w:rsidP="007E5FDD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 рублей</w:t>
            </w:r>
          </w:p>
        </w:tc>
      </w:tr>
      <w:tr w:rsidR="003A1AF5" w:rsidRPr="005C2072" w14:paraId="33B95A0D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A2F4" w14:textId="77777777" w:rsidR="003A1AF5" w:rsidRPr="007C3743" w:rsidRDefault="003A1AF5" w:rsidP="007E5FDD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3C3" w14:textId="77777777" w:rsidR="003A1AF5" w:rsidRPr="007C3743" w:rsidRDefault="003A1AF5" w:rsidP="007E5FDD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3A1AF5" w:rsidRPr="005C2072" w14:paraId="510CA398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203" w14:textId="77777777" w:rsidR="003A1AF5" w:rsidRPr="005C2072" w:rsidRDefault="003A1AF5" w:rsidP="007E5FDD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D42" w14:textId="77777777" w:rsidR="003A1AF5" w:rsidRPr="007C3743" w:rsidRDefault="003A1AF5" w:rsidP="007E5FDD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3A1AF5" w:rsidRPr="005C2072" w14:paraId="0A314D1E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D728" w14:textId="77777777" w:rsidR="003A1AF5" w:rsidRPr="007C3743" w:rsidRDefault="003A1AF5" w:rsidP="007E5FDD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AAC" w14:textId="77777777" w:rsidR="003A1AF5" w:rsidRPr="007C3743" w:rsidRDefault="003A1AF5" w:rsidP="007E5FDD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3A1AF5" w:rsidRPr="005C2072" w14:paraId="5701774C" w14:textId="77777777" w:rsidTr="007E5FD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934" w14:textId="77777777" w:rsidR="003A1AF5" w:rsidRPr="00B85717" w:rsidRDefault="003A1AF5" w:rsidP="007E5FDD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3A1AF5" w:rsidRPr="005C2072" w14:paraId="5A9AF272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7C6B" w14:textId="77777777" w:rsidR="003A1AF5" w:rsidRPr="008F537F" w:rsidRDefault="003A1AF5" w:rsidP="007E5FDD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E98" w14:textId="77777777" w:rsidR="003A1AF5" w:rsidRPr="008F537F" w:rsidRDefault="003A1AF5" w:rsidP="007E5FDD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3A1AF5" w:rsidRPr="005C2072" w14:paraId="3A6415B7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878" w14:textId="77777777" w:rsidR="003A1AF5" w:rsidRPr="005C2072" w:rsidRDefault="003A1AF5" w:rsidP="007E5FDD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A07" w14:textId="77777777" w:rsidR="003A1AF5" w:rsidRPr="00EC3E30" w:rsidRDefault="003A1AF5" w:rsidP="007E5FDD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рублей</w:t>
            </w:r>
          </w:p>
        </w:tc>
      </w:tr>
      <w:tr w:rsidR="003A1AF5" w:rsidRPr="005C2072" w14:paraId="73CCE02F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DB08" w14:textId="77777777" w:rsidR="003A1AF5" w:rsidRPr="008F537F" w:rsidRDefault="003A1AF5" w:rsidP="007E5FDD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BAB" w14:textId="77777777" w:rsidR="003A1AF5" w:rsidRPr="008F537F" w:rsidRDefault="003A1AF5" w:rsidP="007E5FDD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>
              <w:rPr>
                <w:noProof/>
                <w:sz w:val="20"/>
                <w:szCs w:val="18"/>
              </w:rPr>
              <w:t>блей</w:t>
            </w:r>
          </w:p>
        </w:tc>
      </w:tr>
      <w:tr w:rsidR="003A1AF5" w:rsidRPr="005C2072" w14:paraId="3FE425EC" w14:textId="77777777" w:rsidTr="007E5FDD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EF3" w14:textId="77777777" w:rsidR="003A1AF5" w:rsidRDefault="003A1AF5" w:rsidP="007E5FDD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38CA2E21" w14:textId="77777777" w:rsidR="003A1AF5" w:rsidRPr="009C6515" w:rsidRDefault="003A1AF5" w:rsidP="007E5FDD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743" w14:textId="77777777" w:rsidR="003A1AF5" w:rsidRPr="00BB710C" w:rsidRDefault="003A1AF5" w:rsidP="007E5FDD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3A1AF5" w:rsidRPr="005C2072" w14:paraId="51BBF9BF" w14:textId="77777777" w:rsidTr="007E5FD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DBF" w14:textId="77777777" w:rsidR="003A1AF5" w:rsidRPr="007C3743" w:rsidRDefault="003A1AF5" w:rsidP="007E5FDD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59093826" w14:textId="77777777" w:rsidR="003A1AF5" w:rsidRPr="00442275" w:rsidRDefault="003A1AF5" w:rsidP="007E5FDD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0C6DF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0C6DF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0C6DF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576991A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0C6DFA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6DFA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A1AF5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190</cp:revision>
  <dcterms:created xsi:type="dcterms:W3CDTF">2020-12-03T09:31:00Z</dcterms:created>
  <dcterms:modified xsi:type="dcterms:W3CDTF">2026-04-01T11:58:00Z</dcterms:modified>
</cp:coreProperties>
</file>